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701C" w14:textId="77777777" w:rsidR="00814FBD" w:rsidRDefault="00814FBD" w:rsidP="00814FBD"/>
    <w:p w14:paraId="5AAB92F3" w14:textId="77777777" w:rsidR="00814FBD" w:rsidRPr="00A52C5A" w:rsidRDefault="00814FBD" w:rsidP="00814FBD">
      <w:pPr>
        <w:rPr>
          <w:rFonts w:ascii="Arial" w:eastAsia="Times New Roman" w:hAnsi="Arial" w:cs="Arial"/>
          <w:color w:val="000000"/>
          <w:sz w:val="18"/>
          <w:szCs w:val="18"/>
        </w:rPr>
      </w:pPr>
      <w:r w:rsidRPr="00A52C5A">
        <w:rPr>
          <w:rFonts w:ascii="Calibri" w:eastAsia="Times New Roman" w:hAnsi="Calibri" w:cs="Calibri"/>
          <w:i/>
          <w:iCs/>
          <w:color w:val="000000"/>
          <w:sz w:val="32"/>
          <w:szCs w:val="32"/>
        </w:rPr>
        <w:t>•</w:t>
      </w:r>
      <w:r>
        <w:rPr>
          <w:rFonts w:ascii="Calibri" w:eastAsia="Times New Roman" w:hAnsi="Calibri" w:cs="Calibri"/>
          <w:i/>
          <w:iCs/>
          <w:color w:val="000000"/>
          <w:sz w:val="32"/>
          <w:szCs w:val="32"/>
        </w:rPr>
        <w:t xml:space="preserve"> </w:t>
      </w:r>
      <w:r w:rsidRPr="00A52C5A">
        <w:rPr>
          <w:rFonts w:ascii="Calibri" w:eastAsia="Times New Roman" w:hAnsi="Calibri" w:cs="Calibri"/>
          <w:color w:val="000000"/>
        </w:rPr>
        <w:t>A recent report published in Health Affairs on national health expenditures finds that the burden of rising health costs is shifting to local governments, employers and families. This shift is primarily due to lower federal government expenditures following a spike in 2020 as a response to COVID-19. (See </w:t>
      </w:r>
      <w:hyperlink r:id="rId6" w:tgtFrame="_blank" w:history="1">
        <w:r w:rsidRPr="00A52C5A">
          <w:rPr>
            <w:rFonts w:ascii="Calibri" w:eastAsia="Times New Roman" w:hAnsi="Calibri" w:cs="Calibri"/>
            <w:color w:val="211E1E"/>
            <w:u w:val="single"/>
          </w:rPr>
          <w:t>Health Affairs 42, NO. 1 (2023): 6–17</w:t>
        </w:r>
      </w:hyperlink>
      <w:r w:rsidRPr="00A52C5A">
        <w:rPr>
          <w:rFonts w:ascii="Calibri" w:eastAsia="Times New Roman" w:hAnsi="Calibri" w:cs="Calibri"/>
          <w:color w:val="211E1E"/>
        </w:rPr>
        <w:t>)</w:t>
      </w:r>
    </w:p>
    <w:p w14:paraId="033157A3" w14:textId="77777777" w:rsidR="00814FBD" w:rsidRPr="00256322" w:rsidRDefault="00814FBD" w:rsidP="00814FBD">
      <w:pPr>
        <w:rPr>
          <w:rFonts w:ascii="Arial" w:eastAsia="Times New Roman" w:hAnsi="Arial" w:cs="Arial"/>
          <w:color w:val="000000"/>
          <w:sz w:val="18"/>
          <w:szCs w:val="18"/>
        </w:rPr>
      </w:pPr>
    </w:p>
    <w:p w14:paraId="16FBB626" w14:textId="77777777" w:rsidR="00814FBD" w:rsidRPr="00256322" w:rsidRDefault="00814FBD" w:rsidP="00814FBD">
      <w:pPr>
        <w:ind w:left="270" w:right="630"/>
        <w:rPr>
          <w:rFonts w:ascii="Arial" w:eastAsia="Times New Roman" w:hAnsi="Arial" w:cs="Arial"/>
          <w:color w:val="000000"/>
          <w:sz w:val="18"/>
          <w:szCs w:val="18"/>
        </w:rPr>
      </w:pPr>
      <w:r>
        <w:rPr>
          <w:rFonts w:ascii="Times New Roman" w:hAnsi="Times New Roman" w:cs="Times New Roman"/>
          <w:color w:val="191919"/>
        </w:rPr>
        <w:t>►</w:t>
      </w:r>
      <w:r w:rsidRPr="00256322">
        <w:rPr>
          <w:rFonts w:ascii="Calibri" w:eastAsia="Times New Roman" w:hAnsi="Calibri" w:cs="Calibri"/>
          <w:color w:val="211E1E"/>
        </w:rPr>
        <w:t xml:space="preserve"> Health care expenditures financed by state and local governments </w:t>
      </w:r>
      <w:r w:rsidRPr="00256322">
        <w:rPr>
          <w:rFonts w:ascii="Calibri" w:eastAsia="Times New Roman" w:hAnsi="Calibri" w:cs="Calibri"/>
          <w:b/>
          <w:bCs/>
          <w:color w:val="211E1E"/>
        </w:rPr>
        <w:t>increased 5.8%</w:t>
      </w:r>
      <w:r w:rsidRPr="00256322">
        <w:rPr>
          <w:rFonts w:ascii="Calibri" w:eastAsia="Times New Roman" w:hAnsi="Calibri" w:cs="Calibri"/>
          <w:color w:val="211E1E"/>
        </w:rPr>
        <w:t> in 2021, after a decline of 1.9 percent in 2020. </w:t>
      </w:r>
      <w:r w:rsidRPr="00256322">
        <w:rPr>
          <w:rFonts w:ascii="Calibri" w:eastAsia="Times New Roman" w:hAnsi="Calibri" w:cs="Calibri"/>
          <w:color w:val="000000"/>
        </w:rPr>
        <w:t> </w:t>
      </w:r>
    </w:p>
    <w:p w14:paraId="5187908B" w14:textId="77777777" w:rsidR="00814FBD" w:rsidRPr="00256322" w:rsidRDefault="00814FBD" w:rsidP="00814FBD">
      <w:pPr>
        <w:ind w:left="270" w:right="630"/>
        <w:rPr>
          <w:rFonts w:ascii="Arial" w:eastAsia="Times New Roman" w:hAnsi="Arial" w:cs="Arial"/>
          <w:color w:val="000000"/>
          <w:sz w:val="18"/>
          <w:szCs w:val="18"/>
        </w:rPr>
      </w:pPr>
    </w:p>
    <w:p w14:paraId="58C112F0" w14:textId="77777777" w:rsidR="00814FBD" w:rsidRPr="00256322" w:rsidRDefault="00814FBD" w:rsidP="00814FBD">
      <w:pPr>
        <w:ind w:left="270" w:right="630"/>
        <w:rPr>
          <w:rFonts w:ascii="Arial" w:eastAsia="Times New Roman" w:hAnsi="Arial" w:cs="Arial"/>
          <w:color w:val="000000"/>
          <w:sz w:val="18"/>
          <w:szCs w:val="18"/>
        </w:rPr>
      </w:pPr>
      <w:r>
        <w:rPr>
          <w:rFonts w:ascii="Times New Roman" w:hAnsi="Times New Roman" w:cs="Times New Roman"/>
          <w:color w:val="191919"/>
        </w:rPr>
        <w:t>►</w:t>
      </w:r>
      <w:r w:rsidRPr="00256322">
        <w:rPr>
          <w:rFonts w:ascii="Calibri" w:eastAsia="Times New Roman" w:hAnsi="Calibri" w:cs="Calibri"/>
          <w:color w:val="211E1E"/>
        </w:rPr>
        <w:t>Private businesses’ health care spending </w:t>
      </w:r>
      <w:r w:rsidRPr="00256322">
        <w:rPr>
          <w:rFonts w:ascii="Calibri" w:eastAsia="Times New Roman" w:hAnsi="Calibri" w:cs="Calibri"/>
          <w:b/>
          <w:bCs/>
          <w:color w:val="211E1E"/>
        </w:rPr>
        <w:t>increased 6.5%</w:t>
      </w:r>
      <w:r w:rsidRPr="00256322">
        <w:rPr>
          <w:rFonts w:ascii="Calibri" w:eastAsia="Times New Roman" w:hAnsi="Calibri" w:cs="Calibri"/>
          <w:color w:val="211E1E"/>
        </w:rPr>
        <w:t> in 2021, increasing from a growth rate of 2.9 percent 2020. </w:t>
      </w:r>
    </w:p>
    <w:p w14:paraId="0200775B" w14:textId="77777777" w:rsidR="00814FBD" w:rsidRPr="00256322" w:rsidRDefault="00814FBD" w:rsidP="00814FBD">
      <w:pPr>
        <w:ind w:left="270" w:right="630"/>
        <w:rPr>
          <w:rFonts w:ascii="Arial" w:eastAsia="Times New Roman" w:hAnsi="Arial" w:cs="Arial"/>
          <w:color w:val="000000"/>
          <w:sz w:val="18"/>
          <w:szCs w:val="18"/>
        </w:rPr>
      </w:pPr>
    </w:p>
    <w:p w14:paraId="66EF7C54" w14:textId="77777777" w:rsidR="00814FBD" w:rsidRPr="00256322" w:rsidRDefault="00814FBD" w:rsidP="00814FBD">
      <w:pPr>
        <w:ind w:left="270" w:right="630"/>
        <w:rPr>
          <w:rFonts w:ascii="Arial" w:eastAsia="Times New Roman" w:hAnsi="Arial" w:cs="Arial"/>
          <w:color w:val="000000"/>
          <w:sz w:val="18"/>
          <w:szCs w:val="18"/>
        </w:rPr>
      </w:pPr>
      <w:r>
        <w:rPr>
          <w:rFonts w:ascii="Times New Roman" w:hAnsi="Times New Roman" w:cs="Times New Roman"/>
          <w:color w:val="191919"/>
        </w:rPr>
        <w:t>►</w:t>
      </w:r>
      <w:r w:rsidRPr="00256322">
        <w:rPr>
          <w:rFonts w:ascii="Calibri" w:eastAsia="Times New Roman" w:hAnsi="Calibri" w:cs="Calibri"/>
          <w:color w:val="211E1E"/>
        </w:rPr>
        <w:t>Health care spending by households </w:t>
      </w:r>
      <w:r w:rsidRPr="00256322">
        <w:rPr>
          <w:rFonts w:ascii="Calibri" w:eastAsia="Times New Roman" w:hAnsi="Calibri" w:cs="Calibri"/>
          <w:b/>
          <w:bCs/>
          <w:color w:val="211E1E"/>
        </w:rPr>
        <w:t>increased 6.1%</w:t>
      </w:r>
      <w:r w:rsidRPr="00256322">
        <w:rPr>
          <w:rFonts w:ascii="Calibri" w:eastAsia="Times New Roman" w:hAnsi="Calibri" w:cs="Calibri"/>
          <w:color w:val="211E1E"/>
        </w:rPr>
        <w:t> in 2021, increasing from a growth rate of 1.2 percent in 2020. </w:t>
      </w:r>
    </w:p>
    <w:p w14:paraId="0C818B0C" w14:textId="77777777" w:rsidR="00814FBD" w:rsidRPr="00256322" w:rsidRDefault="00814FBD" w:rsidP="00814FBD">
      <w:pPr>
        <w:ind w:left="270" w:right="630"/>
        <w:rPr>
          <w:rFonts w:ascii="Arial" w:eastAsia="Times New Roman" w:hAnsi="Arial" w:cs="Arial"/>
          <w:color w:val="000000"/>
          <w:sz w:val="18"/>
          <w:szCs w:val="18"/>
        </w:rPr>
      </w:pPr>
    </w:p>
    <w:p w14:paraId="60BFFE62" w14:textId="77777777" w:rsidR="00814FBD" w:rsidRDefault="00814FBD" w:rsidP="00814FBD">
      <w:pPr>
        <w:ind w:left="270" w:right="630"/>
        <w:rPr>
          <w:rFonts w:ascii="Calibri" w:eastAsia="Times New Roman" w:hAnsi="Calibri" w:cs="Calibri"/>
          <w:color w:val="211E1E"/>
        </w:rPr>
      </w:pPr>
      <w:r>
        <w:rPr>
          <w:rFonts w:ascii="Times New Roman" w:hAnsi="Times New Roman" w:cs="Times New Roman"/>
          <w:color w:val="191919"/>
        </w:rPr>
        <w:t>►</w:t>
      </w:r>
      <w:r w:rsidRPr="00256322">
        <w:rPr>
          <w:rFonts w:ascii="Calibri" w:eastAsia="Times New Roman" w:hAnsi="Calibri" w:cs="Calibri"/>
          <w:color w:val="211E1E"/>
        </w:rPr>
        <w:t>The largest share of household health spending was out-of-pocket spending, which </w:t>
      </w:r>
      <w:r w:rsidRPr="00256322">
        <w:rPr>
          <w:rFonts w:ascii="Calibri" w:eastAsia="Times New Roman" w:hAnsi="Calibri" w:cs="Calibri"/>
          <w:b/>
          <w:bCs/>
          <w:color w:val="211E1E"/>
        </w:rPr>
        <w:t>increased 10.4%</w:t>
      </w:r>
      <w:r w:rsidRPr="00256322">
        <w:rPr>
          <w:rFonts w:ascii="Calibri" w:eastAsia="Times New Roman" w:hAnsi="Calibri" w:cs="Calibri"/>
          <w:color w:val="211E1E"/>
        </w:rPr>
        <w:t> in 2021 to a total of 38%</w:t>
      </w:r>
    </w:p>
    <w:p w14:paraId="408EEA31" w14:textId="77777777" w:rsidR="00814FBD" w:rsidRPr="00256322" w:rsidRDefault="00814FBD" w:rsidP="00814FBD">
      <w:pPr>
        <w:ind w:left="270"/>
        <w:rPr>
          <w:rFonts w:ascii="Arial" w:eastAsia="Times New Roman" w:hAnsi="Arial" w:cs="Arial"/>
          <w:color w:val="000000"/>
          <w:sz w:val="18"/>
          <w:szCs w:val="18"/>
        </w:rPr>
      </w:pPr>
    </w:p>
    <w:p w14:paraId="45BB258E" w14:textId="77777777" w:rsidR="00814FBD" w:rsidRDefault="00814FBD" w:rsidP="00814FBD">
      <w:r w:rsidRPr="00A52C5A">
        <w:rPr>
          <w:sz w:val="32"/>
          <w:szCs w:val="32"/>
        </w:rPr>
        <w:t>•</w:t>
      </w:r>
      <w:r>
        <w:t xml:space="preserve"> All countries that have guaranteed universal coverage – even those with small populations – have developed policies that not only result in lower per capita spending but also produce better health outcomes than the United States. </w:t>
      </w:r>
    </w:p>
    <w:p w14:paraId="379C8490" w14:textId="77777777" w:rsidR="00814FBD" w:rsidRDefault="00814FBD" w:rsidP="00814FBD">
      <w:pPr>
        <w:ind w:left="360"/>
      </w:pPr>
    </w:p>
    <w:p w14:paraId="0A966933" w14:textId="77777777" w:rsidR="00814FBD" w:rsidRDefault="00814FBD" w:rsidP="00814FBD">
      <w:r w:rsidRPr="00A52C5A">
        <w:rPr>
          <w:sz w:val="32"/>
          <w:szCs w:val="32"/>
        </w:rPr>
        <w:t>•</w:t>
      </w:r>
      <w:r>
        <w:t xml:space="preserve"> Moreover, private, independent medical practices are alive and well in these countries, and there is also a strong supplemental market for </w:t>
      </w:r>
      <w:r w:rsidRPr="00936ED6">
        <w:t>private insurance</w:t>
      </w:r>
      <w:r>
        <w:t>.</w:t>
      </w:r>
    </w:p>
    <w:p w14:paraId="474E77AF" w14:textId="77777777" w:rsidR="00814FBD" w:rsidRDefault="00814FBD" w:rsidP="00814FBD"/>
    <w:p w14:paraId="28524A38" w14:textId="77777777" w:rsidR="00814FBD" w:rsidRDefault="00814FBD" w:rsidP="00814FBD">
      <w:pPr>
        <w:jc w:val="center"/>
        <w:rPr>
          <w:b/>
          <w:bCs/>
          <w:sz w:val="28"/>
          <w:szCs w:val="28"/>
        </w:rPr>
      </w:pPr>
      <w:r>
        <w:rPr>
          <w:b/>
          <w:bCs/>
          <w:sz w:val="28"/>
          <w:szCs w:val="28"/>
        </w:rPr>
        <w:t>5 k</w:t>
      </w:r>
      <w:r w:rsidRPr="00AF5103">
        <w:rPr>
          <w:b/>
          <w:bCs/>
          <w:sz w:val="28"/>
          <w:szCs w:val="28"/>
        </w:rPr>
        <w:t xml:space="preserve">ey policies that </w:t>
      </w:r>
      <w:r>
        <w:rPr>
          <w:b/>
          <w:bCs/>
          <w:sz w:val="28"/>
          <w:szCs w:val="28"/>
        </w:rPr>
        <w:t xml:space="preserve">will </w:t>
      </w:r>
      <w:r w:rsidRPr="00AF5103">
        <w:rPr>
          <w:b/>
          <w:bCs/>
          <w:sz w:val="28"/>
          <w:szCs w:val="28"/>
        </w:rPr>
        <w:t>lead to lower costs</w:t>
      </w:r>
    </w:p>
    <w:p w14:paraId="77F6116B" w14:textId="77777777" w:rsidR="00814FBD" w:rsidRPr="00AF5103" w:rsidRDefault="00814FBD" w:rsidP="00814FBD">
      <w:pPr>
        <w:jc w:val="center"/>
        <w:rPr>
          <w:b/>
          <w:bCs/>
          <w:sz w:val="28"/>
          <w:szCs w:val="28"/>
        </w:rPr>
      </w:pPr>
      <w:r>
        <w:rPr>
          <w:b/>
          <w:bCs/>
          <w:sz w:val="28"/>
          <w:szCs w:val="28"/>
        </w:rPr>
        <w:t>(which will help move Health Security forward)</w:t>
      </w:r>
    </w:p>
    <w:p w14:paraId="36073639" w14:textId="77777777" w:rsidR="00814FBD" w:rsidRDefault="00814FBD" w:rsidP="00814FBD"/>
    <w:p w14:paraId="4DB80864" w14:textId="77777777" w:rsidR="00814FBD" w:rsidRDefault="00814FBD" w:rsidP="00814FBD">
      <w:r>
        <w:tab/>
      </w:r>
      <w:r>
        <w:tab/>
        <w:t>Cost Drivers</w:t>
      </w:r>
      <w:r>
        <w:tab/>
      </w:r>
      <w:r>
        <w:tab/>
      </w:r>
      <w:r>
        <w:tab/>
      </w:r>
      <w:r>
        <w:tab/>
      </w:r>
      <w:r>
        <w:tab/>
        <w:t>Possible Policy Solutions</w:t>
      </w:r>
    </w:p>
    <w:tbl>
      <w:tblPr>
        <w:tblStyle w:val="TableGrid"/>
        <w:tblW w:w="9445" w:type="dxa"/>
        <w:tblLook w:val="04A0" w:firstRow="1" w:lastRow="0" w:firstColumn="1" w:lastColumn="0" w:noHBand="0" w:noVBand="1"/>
      </w:tblPr>
      <w:tblGrid>
        <w:gridCol w:w="715"/>
        <w:gridCol w:w="3240"/>
        <w:gridCol w:w="5490"/>
      </w:tblGrid>
      <w:tr w:rsidR="00814FBD" w14:paraId="591655ED" w14:textId="77777777" w:rsidTr="00EB4F71">
        <w:tc>
          <w:tcPr>
            <w:tcW w:w="715" w:type="dxa"/>
          </w:tcPr>
          <w:p w14:paraId="2826BC72" w14:textId="77777777" w:rsidR="00814FBD" w:rsidRDefault="00814FBD" w:rsidP="00EB4F71">
            <w:r>
              <w:t>1</w:t>
            </w:r>
          </w:p>
        </w:tc>
        <w:tc>
          <w:tcPr>
            <w:tcW w:w="3240" w:type="dxa"/>
          </w:tcPr>
          <w:p w14:paraId="71182C44" w14:textId="77777777" w:rsidR="00814FBD" w:rsidRDefault="00814FBD" w:rsidP="00EB4F71">
            <w:r>
              <w:t>Rising hospital costs</w:t>
            </w:r>
          </w:p>
        </w:tc>
        <w:tc>
          <w:tcPr>
            <w:tcW w:w="5490" w:type="dxa"/>
          </w:tcPr>
          <w:p w14:paraId="47671826" w14:textId="77777777" w:rsidR="00814FBD" w:rsidRDefault="00814FBD" w:rsidP="00EB4F71">
            <w:r>
              <w:t>Global budgets, which provide a stable revenue source for health facilities and ensure no surprise bills for patients</w:t>
            </w:r>
          </w:p>
        </w:tc>
      </w:tr>
      <w:tr w:rsidR="00814FBD" w14:paraId="61263170" w14:textId="77777777" w:rsidTr="00EB4F71">
        <w:tc>
          <w:tcPr>
            <w:tcW w:w="715" w:type="dxa"/>
          </w:tcPr>
          <w:p w14:paraId="48EB430F" w14:textId="77777777" w:rsidR="00814FBD" w:rsidRDefault="00814FBD" w:rsidP="00EB4F71">
            <w:r>
              <w:t>2</w:t>
            </w:r>
          </w:p>
        </w:tc>
        <w:tc>
          <w:tcPr>
            <w:tcW w:w="3240" w:type="dxa"/>
          </w:tcPr>
          <w:p w14:paraId="047867C0" w14:textId="77777777" w:rsidR="00814FBD" w:rsidRDefault="00814FBD" w:rsidP="00EB4F71">
            <w:r>
              <w:t>Complex health professional payment and costly administrative systems, creating stress and burnout</w:t>
            </w:r>
          </w:p>
        </w:tc>
        <w:tc>
          <w:tcPr>
            <w:tcW w:w="5490" w:type="dxa"/>
          </w:tcPr>
          <w:p w14:paraId="1A30E74D" w14:textId="77777777" w:rsidR="00814FBD" w:rsidRDefault="00814FBD" w:rsidP="00EB4F71">
            <w:r>
              <w:t>Standardization of health professional payment systems and simplification of administrative requirements</w:t>
            </w:r>
          </w:p>
        </w:tc>
      </w:tr>
      <w:tr w:rsidR="00814FBD" w14:paraId="76068DDC" w14:textId="77777777" w:rsidTr="00EB4F71">
        <w:tc>
          <w:tcPr>
            <w:tcW w:w="715" w:type="dxa"/>
          </w:tcPr>
          <w:p w14:paraId="114385EF" w14:textId="77777777" w:rsidR="00814FBD" w:rsidRDefault="00814FBD" w:rsidP="00EB4F71">
            <w:r>
              <w:t>3</w:t>
            </w:r>
          </w:p>
        </w:tc>
        <w:tc>
          <w:tcPr>
            <w:tcW w:w="3240" w:type="dxa"/>
          </w:tcPr>
          <w:p w14:paraId="6675D90B" w14:textId="77777777" w:rsidR="00814FBD" w:rsidRDefault="00814FBD" w:rsidP="00EB4F71">
            <w:r>
              <w:t>Out-of-control drug prices</w:t>
            </w:r>
          </w:p>
        </w:tc>
        <w:tc>
          <w:tcPr>
            <w:tcW w:w="5490" w:type="dxa"/>
          </w:tcPr>
          <w:p w14:paraId="5214762D" w14:textId="77777777" w:rsidR="00814FBD" w:rsidRDefault="00814FBD" w:rsidP="00EB4F71">
            <w:r>
              <w:t>Create an authority that will negotiate lower drug prices that requires transparent drug pricing information, including research and development costs</w:t>
            </w:r>
          </w:p>
        </w:tc>
      </w:tr>
      <w:tr w:rsidR="00814FBD" w14:paraId="7E41A824" w14:textId="77777777" w:rsidTr="00EB4F71">
        <w:tc>
          <w:tcPr>
            <w:tcW w:w="715" w:type="dxa"/>
          </w:tcPr>
          <w:p w14:paraId="747D383D" w14:textId="77777777" w:rsidR="00814FBD" w:rsidRDefault="00814FBD" w:rsidP="00EB4F71">
            <w:r>
              <w:t>4</w:t>
            </w:r>
          </w:p>
        </w:tc>
        <w:tc>
          <w:tcPr>
            <w:tcW w:w="3240" w:type="dxa"/>
          </w:tcPr>
          <w:p w14:paraId="02E37E2A" w14:textId="77777777" w:rsidR="00814FBD" w:rsidRDefault="00814FBD" w:rsidP="00EB4F71">
            <w:r>
              <w:t>IT systems that don’t talk to each other</w:t>
            </w:r>
          </w:p>
        </w:tc>
        <w:tc>
          <w:tcPr>
            <w:tcW w:w="5490" w:type="dxa"/>
          </w:tcPr>
          <w:p w14:paraId="6C6BCA6D" w14:textId="77777777" w:rsidR="00814FBD" w:rsidRDefault="00814FBD" w:rsidP="00EB4F71">
            <w:r>
              <w:t xml:space="preserve">A workable IT system that enables providers – including health facilities – to have the medical information they need about their patients – regardless of who provides the insurance coverage  </w:t>
            </w:r>
          </w:p>
        </w:tc>
      </w:tr>
      <w:tr w:rsidR="00814FBD" w14:paraId="39D5EC49" w14:textId="77777777" w:rsidTr="00EB4F71">
        <w:tc>
          <w:tcPr>
            <w:tcW w:w="715" w:type="dxa"/>
          </w:tcPr>
          <w:p w14:paraId="37DC5741" w14:textId="77777777" w:rsidR="00814FBD" w:rsidRDefault="00814FBD" w:rsidP="00EB4F71">
            <w:r>
              <w:t>5</w:t>
            </w:r>
            <w:r w:rsidDel="0037484E">
              <w:t xml:space="preserve"> </w:t>
            </w:r>
          </w:p>
        </w:tc>
        <w:tc>
          <w:tcPr>
            <w:tcW w:w="3240" w:type="dxa"/>
          </w:tcPr>
          <w:p w14:paraId="1B0C1AED" w14:textId="77777777" w:rsidR="00814FBD" w:rsidRDefault="00814FBD" w:rsidP="00EB4F71">
            <w:r>
              <w:t>Different insurance policies offering different services and using different rules</w:t>
            </w:r>
          </w:p>
        </w:tc>
        <w:tc>
          <w:tcPr>
            <w:tcW w:w="5490" w:type="dxa"/>
          </w:tcPr>
          <w:p w14:paraId="3A71C66C" w14:textId="77777777" w:rsidR="00814FBD" w:rsidRDefault="00814FBD" w:rsidP="00EB4F71">
            <w:r>
              <w:t>A standardized, comprehensive list of services and rules that apply to all insurers – public or private</w:t>
            </w:r>
          </w:p>
        </w:tc>
      </w:tr>
    </w:tbl>
    <w:p w14:paraId="5ED67832" w14:textId="77777777" w:rsidR="00814FBD" w:rsidRDefault="00814FBD" w:rsidP="00814FBD"/>
    <w:p w14:paraId="64CE0189" w14:textId="77777777" w:rsidR="00814FBD" w:rsidRDefault="00814FBD" w:rsidP="00814FBD"/>
    <w:p w14:paraId="4E1DC9C6" w14:textId="77777777" w:rsidR="00814FBD" w:rsidRPr="00677434" w:rsidRDefault="00814FBD" w:rsidP="00814FBD">
      <w:pPr>
        <w:pBdr>
          <w:top w:val="single" w:sz="18" w:space="1" w:color="auto"/>
          <w:left w:val="single" w:sz="18" w:space="0" w:color="auto"/>
          <w:bottom w:val="single" w:sz="18" w:space="1" w:color="auto"/>
          <w:right w:val="single" w:sz="18" w:space="4" w:color="auto"/>
        </w:pBdr>
        <w:shd w:val="clear" w:color="auto" w:fill="DBDBDB" w:themeFill="accent3" w:themeFillTint="66"/>
        <w:rPr>
          <w:sz w:val="20"/>
          <w:szCs w:val="20"/>
        </w:rPr>
      </w:pPr>
      <w:r w:rsidRPr="00317AD5">
        <w:t>“</w:t>
      </w:r>
      <w:r w:rsidRPr="00317AD5">
        <w:rPr>
          <w:rFonts w:ascii="Calibri" w:hAnsi="Calibri" w:cs="Calibri"/>
        </w:rPr>
        <w:t>No other country among the developed economies spends nearly as much on administrative overhead as does the United States</w:t>
      </w:r>
      <w:r>
        <w:rPr>
          <w:rFonts w:ascii="Calibri" w:hAnsi="Calibri" w:cs="Calibri"/>
        </w:rPr>
        <w:t>”</w:t>
      </w:r>
      <w:r w:rsidRPr="00677434">
        <w:rPr>
          <w:rFonts w:cstheme="minorHAnsi"/>
          <w:b/>
          <w:bCs/>
          <w:sz w:val="20"/>
          <w:szCs w:val="20"/>
        </w:rPr>
        <w:t xml:space="preserve"> – </w:t>
      </w:r>
      <w:r w:rsidRPr="00677434">
        <w:rPr>
          <w:rFonts w:cstheme="minorHAnsi"/>
          <w:sz w:val="20"/>
          <w:szCs w:val="20"/>
        </w:rPr>
        <w:t>Uwe Reinhardt</w:t>
      </w:r>
      <w:r w:rsidRPr="0037484E">
        <w:rPr>
          <w:rFonts w:cstheme="minorHAnsi"/>
          <w:sz w:val="20"/>
          <w:szCs w:val="20"/>
        </w:rPr>
        <w:t>,</w:t>
      </w:r>
      <w:r w:rsidRPr="00677434">
        <w:rPr>
          <w:rFonts w:cstheme="minorHAnsi"/>
          <w:b/>
          <w:bCs/>
          <w:sz w:val="20"/>
          <w:szCs w:val="20"/>
        </w:rPr>
        <w:t xml:space="preserve"> </w:t>
      </w:r>
      <w:r w:rsidRPr="00677434">
        <w:rPr>
          <w:rFonts w:cstheme="minorHAnsi"/>
          <w:i/>
          <w:iCs/>
          <w:sz w:val="20"/>
          <w:szCs w:val="20"/>
        </w:rPr>
        <w:t xml:space="preserve">Priced Out: The Economic and Ethical Costs of American Health Care </w:t>
      </w:r>
      <w:r w:rsidRPr="00677434">
        <w:rPr>
          <w:rFonts w:cstheme="minorHAnsi"/>
          <w:sz w:val="20"/>
          <w:szCs w:val="20"/>
        </w:rPr>
        <w:t>(2019), p</w:t>
      </w:r>
      <w:r>
        <w:rPr>
          <w:rFonts w:cstheme="minorHAnsi"/>
          <w:sz w:val="20"/>
          <w:szCs w:val="20"/>
        </w:rPr>
        <w:t xml:space="preserve">. </w:t>
      </w:r>
      <w:r w:rsidRPr="00677434">
        <w:rPr>
          <w:rFonts w:cstheme="minorHAnsi"/>
          <w:sz w:val="20"/>
          <w:szCs w:val="20"/>
        </w:rPr>
        <w:t>25</w:t>
      </w:r>
    </w:p>
    <w:p w14:paraId="67D28512" w14:textId="77777777" w:rsidR="00814FBD" w:rsidRPr="00681EE6" w:rsidRDefault="00814FBD" w:rsidP="00814FBD">
      <w:pPr>
        <w:pStyle w:val="NormalWeb"/>
        <w:spacing w:before="0" w:beforeAutospacing="0" w:after="0" w:afterAutospacing="0"/>
        <w:ind w:left="720" w:right="1080"/>
        <w:rPr>
          <w:rFonts w:asciiTheme="minorHAnsi" w:hAnsiTheme="minorHAnsi" w:cstheme="minorHAnsi"/>
          <w:b/>
          <w:bCs/>
        </w:rPr>
      </w:pPr>
    </w:p>
    <w:p w14:paraId="12480312" w14:textId="77777777" w:rsidR="00814FBD" w:rsidRDefault="00814FBD" w:rsidP="00814FBD"/>
    <w:p w14:paraId="6FAA82DB" w14:textId="77777777" w:rsidR="00814FBD" w:rsidRPr="000929A3" w:rsidRDefault="00814FBD" w:rsidP="00814FBD">
      <w:pPr>
        <w:pStyle w:val="NormalWeb"/>
        <w:pBdr>
          <w:top w:val="single" w:sz="18" w:space="1" w:color="auto"/>
          <w:left w:val="single" w:sz="18" w:space="4" w:color="auto"/>
          <w:bottom w:val="single" w:sz="18" w:space="1" w:color="auto"/>
          <w:right w:val="single" w:sz="18" w:space="4" w:color="auto"/>
        </w:pBdr>
        <w:shd w:val="clear" w:color="auto" w:fill="DBDBDB" w:themeFill="accent3" w:themeFillTint="66"/>
        <w:spacing w:before="0" w:beforeAutospacing="0" w:after="0" w:afterAutospacing="0"/>
        <w:ind w:left="90" w:right="60"/>
        <w:rPr>
          <w:rFonts w:asciiTheme="minorHAnsi" w:hAnsiTheme="minorHAnsi" w:cstheme="minorHAnsi"/>
          <w:b/>
          <w:bCs/>
        </w:rPr>
      </w:pPr>
      <w:r>
        <w:rPr>
          <w:rFonts w:asciiTheme="minorHAnsi" w:hAnsiTheme="minorHAnsi" w:cstheme="minorHAnsi"/>
        </w:rPr>
        <w:t>“</w:t>
      </w:r>
      <w:r w:rsidRPr="0037484E">
        <w:rPr>
          <w:rFonts w:asciiTheme="minorHAnsi" w:hAnsiTheme="minorHAnsi" w:cstheme="minorHAnsi"/>
          <w:i/>
          <w:iCs/>
        </w:rPr>
        <w:t>Imagine if you paid for an airplane ticket and then got separate and inscrutable bills from the airline, the pilot, the copilot, and the flight attendants.</w:t>
      </w:r>
      <w:r w:rsidRPr="00EE47BD">
        <w:rPr>
          <w:rFonts w:asciiTheme="minorHAnsi" w:hAnsiTheme="minorHAnsi" w:cstheme="minorHAnsi"/>
        </w:rPr>
        <w:t xml:space="preserve"> </w:t>
      </w:r>
      <w:r w:rsidRPr="00CF4B17">
        <w:rPr>
          <w:rFonts w:asciiTheme="minorHAnsi" w:hAnsiTheme="minorHAnsi" w:cstheme="minorHAnsi"/>
        </w:rPr>
        <w:t>That’s how the healthcare market works. In no other industry do prices for a product vary by a factor of ten depending on where it is purchased</w:t>
      </w:r>
      <w:r w:rsidRPr="00B074D2">
        <w:rPr>
          <w:rFonts w:asciiTheme="minorHAnsi" w:hAnsiTheme="minorHAnsi" w:cstheme="minorHAnsi"/>
        </w:rPr>
        <w:t>.</w:t>
      </w:r>
      <w:r>
        <w:rPr>
          <w:rFonts w:asciiTheme="minorHAnsi" w:hAnsiTheme="minorHAnsi" w:cstheme="minorHAnsi"/>
        </w:rPr>
        <w:t>”</w:t>
      </w:r>
      <w:r>
        <w:rPr>
          <w:rFonts w:asciiTheme="minorHAnsi" w:hAnsiTheme="minorHAnsi" w:cstheme="minorHAnsi"/>
          <w:b/>
          <w:bCs/>
        </w:rPr>
        <w:t xml:space="preserve"> </w:t>
      </w:r>
      <w:r>
        <w:rPr>
          <w:rFonts w:asciiTheme="minorHAnsi" w:hAnsiTheme="minorHAnsi" w:cstheme="minorHAnsi"/>
          <w:sz w:val="20"/>
          <w:szCs w:val="20"/>
        </w:rPr>
        <w:t xml:space="preserve">– </w:t>
      </w:r>
      <w:r w:rsidRPr="00042B98">
        <w:rPr>
          <w:rFonts w:asciiTheme="minorHAnsi" w:hAnsiTheme="minorHAnsi" w:cstheme="minorHAnsi"/>
          <w:sz w:val="20"/>
          <w:szCs w:val="20"/>
        </w:rPr>
        <w:t xml:space="preserve">Elizabeth Rosenthal, MD, </w:t>
      </w:r>
      <w:r w:rsidRPr="00CF4B17">
        <w:rPr>
          <w:rFonts w:asciiTheme="minorHAnsi" w:hAnsiTheme="minorHAnsi" w:cstheme="minorHAnsi"/>
          <w:i/>
          <w:iCs/>
          <w:sz w:val="20"/>
          <w:szCs w:val="20"/>
        </w:rPr>
        <w:t>An American Sickness:</w:t>
      </w:r>
      <w:r>
        <w:rPr>
          <w:rFonts w:asciiTheme="minorHAnsi" w:hAnsiTheme="minorHAnsi" w:cstheme="minorHAnsi"/>
          <w:i/>
          <w:iCs/>
          <w:sz w:val="20"/>
          <w:szCs w:val="20"/>
        </w:rPr>
        <w:t xml:space="preserve"> </w:t>
      </w:r>
      <w:r w:rsidRPr="00CF4B17">
        <w:rPr>
          <w:rFonts w:asciiTheme="minorHAnsi" w:hAnsiTheme="minorHAnsi" w:cstheme="minorHAnsi"/>
          <w:i/>
          <w:iCs/>
          <w:sz w:val="20"/>
          <w:szCs w:val="20"/>
        </w:rPr>
        <w:t>How Healthcare Became Big Business and How You Can Take It Back</w:t>
      </w:r>
      <w:r w:rsidRPr="00042B98">
        <w:rPr>
          <w:rFonts w:asciiTheme="minorHAnsi" w:hAnsiTheme="minorHAnsi" w:cstheme="minorHAnsi"/>
          <w:sz w:val="20"/>
          <w:szCs w:val="20"/>
        </w:rPr>
        <w:t xml:space="preserve"> </w:t>
      </w:r>
      <w:r>
        <w:rPr>
          <w:rFonts w:asciiTheme="minorHAnsi" w:hAnsiTheme="minorHAnsi" w:cstheme="minorHAnsi"/>
          <w:sz w:val="20"/>
          <w:szCs w:val="20"/>
        </w:rPr>
        <w:t>(</w:t>
      </w:r>
      <w:r w:rsidRPr="00042B98">
        <w:rPr>
          <w:rFonts w:asciiTheme="minorHAnsi" w:hAnsiTheme="minorHAnsi" w:cstheme="minorHAnsi"/>
          <w:sz w:val="20"/>
          <w:szCs w:val="20"/>
        </w:rPr>
        <w:t>2017</w:t>
      </w:r>
      <w:r>
        <w:rPr>
          <w:rFonts w:asciiTheme="minorHAnsi" w:hAnsiTheme="minorHAnsi" w:cstheme="minorHAnsi"/>
          <w:sz w:val="20"/>
          <w:szCs w:val="20"/>
        </w:rPr>
        <w:t>), p. 2</w:t>
      </w:r>
    </w:p>
    <w:p w14:paraId="7B6B0A09" w14:textId="77777777" w:rsidR="00814FBD" w:rsidRDefault="00814FBD" w:rsidP="00814FBD"/>
    <w:p w14:paraId="546CEC7C" w14:textId="77777777" w:rsidR="00814FBD" w:rsidRDefault="00814FBD" w:rsidP="00814FBD"/>
    <w:p w14:paraId="7E477AAC" w14:textId="77777777" w:rsidR="00814FBD" w:rsidRDefault="00814FBD"/>
    <w:sectPr w:rsidR="00814FBD" w:rsidSect="00A20FC9">
      <w:headerReference w:type="default" r:id="rId7"/>
      <w:pgSz w:w="12240" w:h="15840"/>
      <w:pgMar w:top="108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410D" w14:textId="77777777" w:rsidR="00B241B1" w:rsidRDefault="00B241B1">
      <w:r>
        <w:separator/>
      </w:r>
    </w:p>
  </w:endnote>
  <w:endnote w:type="continuationSeparator" w:id="0">
    <w:p w14:paraId="4B76AAF2" w14:textId="77777777" w:rsidR="00B241B1" w:rsidRDefault="00B2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A679" w14:textId="77777777" w:rsidR="00B241B1" w:rsidRDefault="00B241B1">
      <w:r>
        <w:separator/>
      </w:r>
    </w:p>
  </w:footnote>
  <w:footnote w:type="continuationSeparator" w:id="0">
    <w:p w14:paraId="3F0F4728" w14:textId="77777777" w:rsidR="00B241B1" w:rsidRDefault="00B2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3C91" w14:textId="77777777" w:rsidR="00F8392B" w:rsidRPr="00FC14A3" w:rsidRDefault="00B241B1" w:rsidP="00FC14A3">
    <w:pPr>
      <w:pStyle w:val="Header"/>
      <w:jc w:val="center"/>
      <w:rPr>
        <w:sz w:val="32"/>
        <w:szCs w:val="32"/>
      </w:rPr>
    </w:pPr>
    <w:r w:rsidRPr="00FC14A3">
      <w:rPr>
        <w:sz w:val="32"/>
        <w:szCs w:val="32"/>
      </w:rPr>
      <w:t xml:space="preserve">Major </w:t>
    </w:r>
    <w:r>
      <w:rPr>
        <w:sz w:val="32"/>
        <w:szCs w:val="32"/>
      </w:rPr>
      <w:t xml:space="preserve">Health Care </w:t>
    </w:r>
    <w:r w:rsidRPr="00FC14A3">
      <w:rPr>
        <w:sz w:val="32"/>
        <w:szCs w:val="32"/>
      </w:rPr>
      <w:t>Cost Drivers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BD"/>
    <w:rsid w:val="000B398B"/>
    <w:rsid w:val="00814FBD"/>
    <w:rsid w:val="00B2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D3342"/>
  <w15:chartTrackingRefBased/>
  <w15:docId w15:val="{CE6C9670-6D12-D641-9EAD-9758E3E7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FB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4FBD"/>
    <w:pPr>
      <w:tabs>
        <w:tab w:val="center" w:pos="4680"/>
        <w:tab w:val="right" w:pos="9360"/>
      </w:tabs>
    </w:pPr>
  </w:style>
  <w:style w:type="character" w:customStyle="1" w:styleId="HeaderChar">
    <w:name w:val="Header Char"/>
    <w:basedOn w:val="DefaultParagraphFont"/>
    <w:link w:val="Header"/>
    <w:uiPriority w:val="99"/>
    <w:rsid w:val="0081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kIz7rhOaUKp1lnbTb0bHNuOGBTDmwkS5spuuPhkkhHBLQgSAdwjreA7L0EqMJR5phD0gAp1aqtMSLzKDxDJHn7BNcz4IkvGt7qiBMKoMaO8ULVyEa0fHSWmGZCAoQTXEdvvHv5leHWh-Py33HQ7dgABmoVB6M_osUioY2XRX7abx5FsH_8c0s1s6kqu3SyA98HxyxvdrBvV5tEorWE9oAg==&amp;c=mMac4NXpxS0ei3CmnFeJ3eUpWgyafWRFufX5zj2k2b5ERYmhQOpM4A==&amp;ch=13RgDzAm1LkaVVYHyOMloUeT2gG4f7gULYOoWrvOsHV6MXCT-ANRq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Johanna Lutz</cp:lastModifiedBy>
  <cp:revision>2</cp:revision>
  <dcterms:created xsi:type="dcterms:W3CDTF">2023-03-23T15:29:00Z</dcterms:created>
  <dcterms:modified xsi:type="dcterms:W3CDTF">2023-03-23T15:29:00Z</dcterms:modified>
</cp:coreProperties>
</file>